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5F" w:rsidRPr="00BD7D5F" w:rsidRDefault="00BD7D5F" w:rsidP="00BD7D5F">
      <w:pPr>
        <w:shd w:val="clear" w:color="auto" w:fill="FFFFFF"/>
        <w:spacing w:after="0" w:line="240" w:lineRule="auto"/>
        <w:textAlignment w:val="baseline"/>
        <w:rPr>
          <w:rFonts w:ascii="Arial" w:eastAsia="Times New Roman" w:hAnsi="Arial" w:cs="Arial"/>
          <w:b/>
          <w:color w:val="00B0F0"/>
          <w:sz w:val="28"/>
          <w:szCs w:val="32"/>
          <w:bdr w:val="none" w:sz="0" w:space="0" w:color="auto" w:frame="1"/>
          <w:lang w:eastAsia="tr-TR"/>
        </w:rPr>
      </w:pPr>
      <w:bookmarkStart w:id="0" w:name="_GoBack"/>
      <w:r w:rsidRPr="00BD7D5F">
        <w:rPr>
          <w:rFonts w:ascii="Arial" w:eastAsia="Times New Roman" w:hAnsi="Arial" w:cs="Arial"/>
          <w:b/>
          <w:color w:val="00B0F0"/>
          <w:sz w:val="28"/>
          <w:szCs w:val="32"/>
          <w:bdr w:val="none" w:sz="0" w:space="0" w:color="auto" w:frame="1"/>
          <w:lang w:eastAsia="tr-TR"/>
        </w:rPr>
        <w:t xml:space="preserve">Bilgilendirme Notu </w:t>
      </w:r>
      <w:proofErr w:type="gramStart"/>
      <w:r w:rsidRPr="00BD7D5F">
        <w:rPr>
          <w:rFonts w:ascii="Arial" w:eastAsia="Times New Roman" w:hAnsi="Arial" w:cs="Arial"/>
          <w:b/>
          <w:color w:val="00B0F0"/>
          <w:sz w:val="28"/>
          <w:szCs w:val="32"/>
          <w:bdr w:val="none" w:sz="0" w:space="0" w:color="auto" w:frame="1"/>
          <w:lang w:eastAsia="tr-TR"/>
        </w:rPr>
        <w:t>13 -</w:t>
      </w:r>
      <w:proofErr w:type="gramEnd"/>
      <w:r w:rsidRPr="00BD7D5F">
        <w:rPr>
          <w:rFonts w:ascii="Arial" w:eastAsia="Times New Roman" w:hAnsi="Arial" w:cs="Arial"/>
          <w:b/>
          <w:color w:val="00B0F0"/>
          <w:sz w:val="28"/>
          <w:szCs w:val="32"/>
          <w:bdr w:val="none" w:sz="0" w:space="0" w:color="auto" w:frame="1"/>
          <w:lang w:eastAsia="tr-TR"/>
        </w:rPr>
        <w:t xml:space="preserve"> 7061 sayılı Bazı Vergi Kanunları ile Diğer Bazı Kanunlarda Değişiklik Yapılmasına Dair Kanun</w:t>
      </w:r>
    </w:p>
    <w:bookmarkEnd w:id="0"/>
    <w:p w:rsidR="00BD7D5F" w:rsidRPr="00BD7D5F" w:rsidRDefault="00BD7D5F" w:rsidP="00BD7D5F">
      <w:pPr>
        <w:shd w:val="clear" w:color="auto" w:fill="FFFFFF"/>
        <w:spacing w:after="0" w:line="240" w:lineRule="auto"/>
        <w:textAlignment w:val="baseline"/>
        <w:rPr>
          <w:rFonts w:ascii="Arial" w:eastAsia="Times New Roman" w:hAnsi="Arial" w:cs="Arial"/>
          <w:color w:val="000000"/>
          <w:sz w:val="20"/>
          <w:szCs w:val="20"/>
          <w:lang w:eastAsia="tr-TR"/>
        </w:rPr>
      </w:pP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7061 Sayılı Bazı Vergi Kanunları ile Diğer Bazı Kanunlarda Değişiklik Yapılmasına Dair Kanun</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7061 sayılı Torba Kanun’un getirdiği önemli değişiklikler ve yenilikler vergilere göre aşağıda özetlenmiştir: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b/>
          <w:bCs/>
          <w:color w:val="291F20"/>
          <w:sz w:val="21"/>
          <w:szCs w:val="21"/>
          <w:bdr w:val="none" w:sz="0" w:space="0" w:color="auto" w:frame="1"/>
          <w:lang w:eastAsia="tr-TR"/>
        </w:rPr>
        <w:t>Kurumlar Vergisi Kanunu’nda (KVK) Yapılan Düzenlemeler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Kurumların iki tam yıl süreyle aktiflerinde yer alan taşınmazların satışından doğan kazançlarına uygulanan istisna, %75 yerine %50 olarak belirlenmiştir. İştirak hisselerine ilişkin istisna %75 olarak korunmuştur.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Ayrıca bankalara borçlu olanların ve bunların kefillerinin, bu borçlara karşılık olarak taşınmaz ve iştirak hisselerinin bankalara devrinden doğan kazançları ve bankaların bu şekilde elde ettikleri kıymetlerin satışından doğan kazançlarına tanınan kurumlar vergisi istisnası, banka dışı finansal kurumlar olan finansal kiralama ve finansman şirketlerini de kapsayacak şekilde genişletilmekte ve mevcut düzenlemede yer alan %75 istisna oram taşınmazlar için %50, diğer kıymetler için %75 olarak yeniden belirlenmiştir.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%20 oranında uygulanmakta olan kurumlar vergisi oran, 2018, 2019 ve 2020 yılı vergilendirme dönemleri (özel hesap dönemi tayin edilen kurumlar için ilgili yıl içerisinde başlayan hesap dönemleri) için %22 olarak uygulanacaktır.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Kooperatiflerle ilgili muafiyet hükmünde değişiklik yapılmıştır. Mevcut uygulamaya göre kooperatifler ortak dışı işlem yaptıktan takdirde muafiyetlerini kaybetmekte ve KV mükellefi olarak vergiye tabi tutulmaktadırlar. Yapılan düzenlemeyle kooperatiflerde ortak dışı işlemlerden ne anlaşılması gerektiğine madde metninde yer verilmekte, kooperatiflerin faaliyetlerinin icrasına mahsus olarak iktisap ettikleri demirbaş, makine, teçhizat, taşıt vb. maddi duran varlıklarının ekonomik ömürlerini tamamladıktan sonra elden çıkarılmalarının ortak dışı işlem olarak kabul edilmeyeceği düzenlenmektedir.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Kooperatiflere ilişkin </w:t>
      </w:r>
      <w:proofErr w:type="spellStart"/>
      <w:r w:rsidRPr="00BD7D5F">
        <w:rPr>
          <w:rFonts w:ascii="Arial" w:eastAsia="Times New Roman" w:hAnsi="Arial" w:cs="Arial"/>
          <w:color w:val="291F20"/>
          <w:sz w:val="21"/>
          <w:szCs w:val="21"/>
          <w:lang w:eastAsia="tr-TR"/>
        </w:rPr>
        <w:t>risturn</w:t>
      </w:r>
      <w:proofErr w:type="spellEnd"/>
      <w:r w:rsidRPr="00BD7D5F">
        <w:rPr>
          <w:rFonts w:ascii="Arial" w:eastAsia="Times New Roman" w:hAnsi="Arial" w:cs="Arial"/>
          <w:color w:val="291F20"/>
          <w:sz w:val="21"/>
          <w:szCs w:val="21"/>
          <w:lang w:eastAsia="tr-TR"/>
        </w:rPr>
        <w:t xml:space="preserve"> istisnası hükümleri mevcut düzenlemeden çıkarılmaktadır.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2017 yılında yapılan imalat sanayii yatırımlan için yatırım teşviklerinden daha yüksek oranlarda faydalanılmasına imkân veren düzenlemenin 2018 yılında da uygulanmasına imkân sağlanmaktadır.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proofErr w:type="spellStart"/>
      <w:r w:rsidRPr="00BD7D5F">
        <w:rPr>
          <w:rFonts w:ascii="Arial" w:eastAsia="Times New Roman" w:hAnsi="Arial" w:cs="Arial"/>
          <w:color w:val="291F20"/>
          <w:sz w:val="21"/>
          <w:szCs w:val="21"/>
          <w:lang w:eastAsia="tr-TR"/>
        </w:rPr>
        <w:t>KVK’de</w:t>
      </w:r>
      <w:proofErr w:type="spellEnd"/>
      <w:r w:rsidRPr="00BD7D5F">
        <w:rPr>
          <w:rFonts w:ascii="Arial" w:eastAsia="Times New Roman" w:hAnsi="Arial" w:cs="Arial"/>
          <w:color w:val="291F20"/>
          <w:sz w:val="21"/>
          <w:szCs w:val="21"/>
          <w:lang w:eastAsia="tr-TR"/>
        </w:rPr>
        <w:t xml:space="preserve"> yapılan değişiklikler bugün itibariyle yürürlüktedir.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b/>
          <w:bCs/>
          <w:color w:val="291F20"/>
          <w:sz w:val="21"/>
          <w:szCs w:val="21"/>
          <w:bdr w:val="none" w:sz="0" w:space="0" w:color="auto" w:frame="1"/>
          <w:lang w:eastAsia="tr-TR"/>
        </w:rPr>
        <w:lastRenderedPageBreak/>
        <w:t>Gelir Vergisi’nde (GV) Yapılan Düzenlemeler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Kira gelirleri üzerinden götürü gider yöntemiyle indirim yapılacak oran %25’ten %15’e düşürülmüştür. Söz konusu değişiklik 01.01.2018 tarihinden itibaren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2017 yılında asgari ücretin net tutarının 1.404 TL’nin altına inmemesi için bu yıla özgü bir düzenleme yapılmıştır. Söz konusu değişiklik 01.09.2017 tarihinden itibaren yürürlüktedir.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b/>
          <w:bCs/>
          <w:color w:val="291F20"/>
          <w:sz w:val="21"/>
          <w:szCs w:val="21"/>
          <w:bdr w:val="none" w:sz="0" w:space="0" w:color="auto" w:frame="1"/>
          <w:lang w:eastAsia="tr-TR"/>
        </w:rPr>
        <w:t>Katma Değer Vergisi’nde (KDV) Yapılan Düzenlemeler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Türkiye'de ikametgâhı, işyeri, kanuni merkezi ve iş merkezi bulunmayanlar tarafından KDV mükellefi olmayan gerçek kişilere elektronik ortamda sunulan hizmetlere ilişkin katma değer vergisinin, Avrupa Birliği uygulamalarına benzer şekilde, bu hizmeti sunanlar tarafından beyan edilip ödenmesi amaçlanmaktadır.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Bankalara borçlu olanların ve kefillerinin borçlarına karşılık taşınmaz ve iştirak hisselerinin bankalara devir ve teslimlerinde tanınan KDV istisnası, finansal kiralama ve finansman şirketlerine yapılan devir ve teslimlerde de sağlanmaktadır.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Cep telefonu abonelerinin yurtdışında yaptıkları kullanımlara ilişkin yurtdışında bulunan operatör tarafından, yurtiçindeki operatöre verilen roaming hizmetine ilişkin bedel ile bu bedelin yurtiçindeki operatör tarafından aboneye yansıtılması, KDV’den istisna edilmektedir. Dolayısıyla söz konusu hizmetlere ilişkin bedeller özel iletişim vergisinden de istisna olacaktır. Bu ve önceki değişiklikler 01.01.2018 tarihinden itibaren yürürlüğe girecektir.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İmalat sanayii yatırımları üzerindeki katma değer vergisinden kaynaklı finansman yükünü gidermek amacıyla bu yatırımlar nedeniyle 2017 yılında yapılacak inşaat harcamaları dolayısıyla yüklenilecek KDV iadesi uygulamasının 2018 yılında da sürdürülmesi sağlanmaktadır. Bugün itibariyle bu değişiklik yürürlüğe girmiştir.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Kanuna eklenen geçici maddeyle, Eğitimde Fırsatları Artırma ve Teknolojiyi İyileştirme Hareketi (FATİH) Projesi kapsamında yapılan mal ve hizmet alımlarına ilişkin başta KDV olmak üzere, diğer vergi ve benzeri mali yükümlülüklerde istisna sağlanmaktadır. Bugün itibariyle bu değişiklik yürürlüğe girmiştir.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b/>
          <w:bCs/>
          <w:color w:val="291F20"/>
          <w:sz w:val="21"/>
          <w:szCs w:val="21"/>
          <w:bdr w:val="none" w:sz="0" w:space="0" w:color="auto" w:frame="1"/>
          <w:lang w:eastAsia="tr-TR"/>
        </w:rPr>
        <w:t>Vergi Usul Kanunu’na (VUK) İlişkin Yapılan Düzenlemeler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Bilinen adresler yeniden düzenlenmekte, işi bırakma bildirimlerinde, vergi mahkemesindeki dava açma dilekçelerinde, cevaplarında ve benzeri belgelerde yer alan adresler bilinen adres olmaktan çıkarılarak mükelleflerin MERNİS kayıtlarında yer alan yerleşim yeri adresleri bilinen </w:t>
      </w:r>
      <w:r w:rsidRPr="00BD7D5F">
        <w:rPr>
          <w:rFonts w:ascii="Arial" w:eastAsia="Times New Roman" w:hAnsi="Arial" w:cs="Arial"/>
          <w:color w:val="291F20"/>
          <w:sz w:val="21"/>
          <w:szCs w:val="21"/>
          <w:lang w:eastAsia="tr-TR"/>
        </w:rPr>
        <w:lastRenderedPageBreak/>
        <w:t>adresler arasına alınmaktadır. Ayrıca, tebligatın hangi durumlarda hangi adreslere ve kimlere yapılacağına ilişkin hususlarda düzenleme yapılmaktadır.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Geçici ayrılmalar da dahil olmak üzere, tebliğ yapılacak olanların işyerlerinde veya yerleşim yerlerinde bulunamaması halinde tebliğin nasıl yapılacağı hususu düzenlenmiştir. Bu çerçevede, mükellefin işyeri adresinde bulunamaması halinde </w:t>
      </w:r>
      <w:proofErr w:type="spellStart"/>
      <w:r w:rsidRPr="00BD7D5F">
        <w:rPr>
          <w:rFonts w:ascii="Arial" w:eastAsia="Times New Roman" w:hAnsi="Arial" w:cs="Arial"/>
          <w:color w:val="291F20"/>
          <w:sz w:val="21"/>
          <w:szCs w:val="21"/>
          <w:lang w:eastAsia="tr-TR"/>
        </w:rPr>
        <w:t>MERNİS'te</w:t>
      </w:r>
      <w:proofErr w:type="spellEnd"/>
      <w:r w:rsidRPr="00BD7D5F">
        <w:rPr>
          <w:rFonts w:ascii="Arial" w:eastAsia="Times New Roman" w:hAnsi="Arial" w:cs="Arial"/>
          <w:color w:val="291F20"/>
          <w:sz w:val="21"/>
          <w:szCs w:val="21"/>
          <w:lang w:eastAsia="tr-TR"/>
        </w:rPr>
        <w:t xml:space="preserve"> kayıtlı yerleşim yeri adresine gidilmesi esası getirilmekte ve 7201 sayılı Tebligat Kanunu’nda yer alan kapıya yapıştırma usulüyle tebligata ilişkin benzer düzenlemeye </w:t>
      </w:r>
      <w:proofErr w:type="spellStart"/>
      <w:r w:rsidRPr="00BD7D5F">
        <w:rPr>
          <w:rFonts w:ascii="Arial" w:eastAsia="Times New Roman" w:hAnsi="Arial" w:cs="Arial"/>
          <w:color w:val="291F20"/>
          <w:sz w:val="21"/>
          <w:szCs w:val="21"/>
          <w:lang w:eastAsia="tr-TR"/>
        </w:rPr>
        <w:t>VUK’ta</w:t>
      </w:r>
      <w:proofErr w:type="spellEnd"/>
      <w:r w:rsidRPr="00BD7D5F">
        <w:rPr>
          <w:rFonts w:ascii="Arial" w:eastAsia="Times New Roman" w:hAnsi="Arial" w:cs="Arial"/>
          <w:color w:val="291F20"/>
          <w:sz w:val="21"/>
          <w:szCs w:val="21"/>
          <w:lang w:eastAsia="tr-TR"/>
        </w:rPr>
        <w:t xml:space="preserve"> da yer verilmektedir.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Tebliğin ilanen yapılacağı haller arasına, </w:t>
      </w:r>
      <w:proofErr w:type="spellStart"/>
      <w:r w:rsidRPr="00BD7D5F">
        <w:rPr>
          <w:rFonts w:ascii="Arial" w:eastAsia="Times New Roman" w:hAnsi="Arial" w:cs="Arial"/>
          <w:color w:val="291F20"/>
          <w:sz w:val="21"/>
          <w:szCs w:val="21"/>
          <w:lang w:eastAsia="tr-TR"/>
        </w:rPr>
        <w:t>MERNİS'te</w:t>
      </w:r>
      <w:proofErr w:type="spellEnd"/>
      <w:r w:rsidRPr="00BD7D5F">
        <w:rPr>
          <w:rFonts w:ascii="Arial" w:eastAsia="Times New Roman" w:hAnsi="Arial" w:cs="Arial"/>
          <w:color w:val="291F20"/>
          <w:sz w:val="21"/>
          <w:szCs w:val="21"/>
          <w:lang w:eastAsia="tr-TR"/>
        </w:rPr>
        <w:t xml:space="preserve"> kayıtlı yerleşim yeri adresi bulunmaması hali eklenmektedir. Bu ve önceki değişiklikler 01.01.2018 tarihinden itibaren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Vergiye gönüllü uyumun artırılması amacıyla mükelleflere verilen hizmetlerin elektronik ortama taşınmasına ve vatandaşların vergi dairelerine gitmeksizin iş ve işlemlerini elektronik ortamda yapabilmesine, ayrıca kayıt dışılıkla mücadelede etkinliğin artırılması kapsamında elektronik ticaretin kavranmasına yönelik olarak gerekli düzenlemeleri yapma hususunda Maliye Bakanlığına yetki verilmektedir. Diğer taraftan madde ile, süresinden sonra verilen bildirim, yazı, dilekçe, tutanak, rapor ve diğer belgelere istinaden düzenlenen ihbarnamelerin mükellef, vergi sorumlusu veya bunların elektronik ortamda beyanname gönderme yetkisi verdiği gerçek veya tüzel kişiye elektronik ortamda iletilebilmesine imkân sağlanmaktadır. Bu değişiklik bugün itibariyle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Mükelleflerin </w:t>
      </w:r>
      <w:proofErr w:type="gramStart"/>
      <w:r w:rsidRPr="00BD7D5F">
        <w:rPr>
          <w:rFonts w:ascii="Arial" w:eastAsia="Times New Roman" w:hAnsi="Arial" w:cs="Arial"/>
          <w:color w:val="291F20"/>
          <w:sz w:val="21"/>
          <w:szCs w:val="21"/>
          <w:lang w:eastAsia="tr-TR"/>
        </w:rPr>
        <w:t>ikametgah</w:t>
      </w:r>
      <w:proofErr w:type="gramEnd"/>
      <w:r w:rsidRPr="00BD7D5F">
        <w:rPr>
          <w:rFonts w:ascii="Arial" w:eastAsia="Times New Roman" w:hAnsi="Arial" w:cs="Arial"/>
          <w:color w:val="291F20"/>
          <w:sz w:val="21"/>
          <w:szCs w:val="21"/>
          <w:lang w:eastAsia="tr-TR"/>
        </w:rPr>
        <w:t xml:space="preserve"> adresi değişikliklerini vergi dairelerine bildirme zorunluluğu kaldırılmaktadır. Bu değişiklik bugün itibariyle yürürlüğe girmiştir.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b/>
          <w:bCs/>
          <w:color w:val="291F20"/>
          <w:sz w:val="21"/>
          <w:szCs w:val="21"/>
          <w:bdr w:val="none" w:sz="0" w:space="0" w:color="auto" w:frame="1"/>
          <w:lang w:eastAsia="tr-TR"/>
        </w:rPr>
        <w:t>Damga Vergisi’nde (DV) Yapılan Düzenlemeler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Maktu ve nispi damga vergilerinin artırılması ve indirilmesine ilişkin Bakanlar Kuruluna verilen yetkinin, </w:t>
      </w:r>
      <w:proofErr w:type="gramStart"/>
      <w:r w:rsidRPr="00BD7D5F">
        <w:rPr>
          <w:rFonts w:ascii="Arial" w:eastAsia="Times New Roman" w:hAnsi="Arial" w:cs="Arial"/>
          <w:color w:val="291F20"/>
          <w:sz w:val="21"/>
          <w:szCs w:val="21"/>
          <w:lang w:eastAsia="tr-TR"/>
        </w:rPr>
        <w:t>kağıt</w:t>
      </w:r>
      <w:proofErr w:type="gramEnd"/>
      <w:r w:rsidRPr="00BD7D5F">
        <w:rPr>
          <w:rFonts w:ascii="Arial" w:eastAsia="Times New Roman" w:hAnsi="Arial" w:cs="Arial"/>
          <w:color w:val="291F20"/>
          <w:sz w:val="21"/>
          <w:szCs w:val="21"/>
          <w:lang w:eastAsia="tr-TR"/>
        </w:rPr>
        <w:t xml:space="preserve"> türleri itibarıyla birlikte veya ayrı ayrı kullanılmasına imkân sağlanmaktadır.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(2) sayılı tabloda değişiklik yapılmak suretiyle kamu özel </w:t>
      </w:r>
      <w:proofErr w:type="gramStart"/>
      <w:r w:rsidRPr="00BD7D5F">
        <w:rPr>
          <w:rFonts w:ascii="Arial" w:eastAsia="Times New Roman" w:hAnsi="Arial" w:cs="Arial"/>
          <w:color w:val="291F20"/>
          <w:sz w:val="21"/>
          <w:szCs w:val="21"/>
          <w:lang w:eastAsia="tr-TR"/>
        </w:rPr>
        <w:t>işbirliği</w:t>
      </w:r>
      <w:proofErr w:type="gramEnd"/>
      <w:r w:rsidRPr="00BD7D5F">
        <w:rPr>
          <w:rFonts w:ascii="Arial" w:eastAsia="Times New Roman" w:hAnsi="Arial" w:cs="Arial"/>
          <w:color w:val="291F20"/>
          <w:sz w:val="21"/>
          <w:szCs w:val="21"/>
          <w:lang w:eastAsia="tr-TR"/>
        </w:rPr>
        <w:t xml:space="preserve"> projelerinin finansmanı için yurtdışında ihraç edilen menkul kıymet karşılığında fon temin etmek üzere kurulan özel amaçlı kuruluşların, bu fonları proje yüklenicisi firmalara kullandırmasına ilişkin olarak düzenlenen kağıtlar ile bunların teminatı ve geri ödenmesine ilişkin işlemler nedeniyle düzenlenen kağıtlara DV istisnası sağlanmaktadır.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DV yapılan değişiklikler bugün itibariyle yürürlüğe girmiştir.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b/>
          <w:bCs/>
          <w:color w:val="291F20"/>
          <w:sz w:val="21"/>
          <w:szCs w:val="21"/>
          <w:bdr w:val="none" w:sz="0" w:space="0" w:color="auto" w:frame="1"/>
          <w:lang w:eastAsia="tr-TR"/>
        </w:rPr>
        <w:t>Diğer Düzenlemeler: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lastRenderedPageBreak/>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Veraset ve İntikal Vergisi: Şans oyunları ile gerçek ve tüzel kişilerce düzenlenen yarışma ve çekilişlerde kazanılan ikramiyelerde VİV oranı %10 yerine %20 olarak uygulanacaktır. Söz konusu değişiklik 01.01.2018 tarihinden itibaren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Harçlar Kanunu: Transfer Fiyatlandırması hükümleri çerçevesinde yapılan Peşin Fiyatlandırma Anlaşmalarına ilişkin alınan harç kaldırılmıştır. Bu değişiklik bugün itibariyle yürürlüğe girmiştir.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Emlak Vergisi: Belediyelerin Emlak Vergisi değerlerinde yaptıkları aşırı artışlara karşı mükellefi korumak üzere tavan uygulamasına geçilecektir. Emlak Vergilerinin fahiş oranda artışının önüne geçmek için, 2018 yılı değerlerinin 2017 yılı arsa veya arazi değerinin %50'sini hiçbir şekilde aşmayacak şekilde yasal düzenleme yapılmaktadır. Bu değişiklik bugün itibariyle yürürlüğe girmiştir.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Motorlu Taşıtlar Vergisi: Taşıtın teslimi, ilk iktisabı ve ithalinde, hesaplanacak özel tüketim vergisi hariç, katma değer vergisi matrahını oluşturan değerler taşıt değeri olarak tanımlanmaktadır. Otomobil, kaptıkaçtı, arazi taşıtları ve benzerlerinin vergilendirme usulü değiştirilerek mevcut vergilendirme ölçütlerine taşıt değeri de eklenmektedir. Söz konusu değişiklik 01.01.2018 tarihinden itibaren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Gider Vergileri Kanunu: İşlemin yapıldığı yere bakılmaksızın vadeli işlem ve opsiyon sözleşmeleri sonucu lehe alınan paraların banka ve sigorta muameleleri vergisinden istisna edilmiştir. Söz konusu değişiklik 01.01.2018 tarihinden itibaren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 xml:space="preserve">Finansal Kiralama, </w:t>
      </w:r>
      <w:proofErr w:type="spellStart"/>
      <w:r w:rsidRPr="00BD7D5F">
        <w:rPr>
          <w:rFonts w:ascii="Arial" w:eastAsia="Times New Roman" w:hAnsi="Arial" w:cs="Arial"/>
          <w:color w:val="291F20"/>
          <w:sz w:val="21"/>
          <w:szCs w:val="21"/>
          <w:lang w:eastAsia="tr-TR"/>
        </w:rPr>
        <w:t>Faktoring</w:t>
      </w:r>
      <w:proofErr w:type="spellEnd"/>
      <w:r w:rsidRPr="00BD7D5F">
        <w:rPr>
          <w:rFonts w:ascii="Arial" w:eastAsia="Times New Roman" w:hAnsi="Arial" w:cs="Arial"/>
          <w:color w:val="291F20"/>
          <w:sz w:val="21"/>
          <w:szCs w:val="21"/>
          <w:lang w:eastAsia="tr-TR"/>
        </w:rPr>
        <w:t xml:space="preserve"> ve Finansman Şirketleri Kanunu: Kanun kapsamında finans sektöründe faaliyette bulunan finansal kiralama ve finansman şirketlerinin, BDDK tarafından belirlenen usul ve esaslara göre alacakları ile ilgili olarak ayırdıkları özel karşılıkların kurum kazancının tespitinde indirim konusu yapılması sağlanmaktadır. Bu değişiklik 01.01.2019 itibariyle yürürlüğe girecektir. </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Amme Alacaklarının Tahsil Usulü Hakkında Kanun (AATUHK): İhtiyatlı hacze itiraz, ödeme emri tebliği ve tebliğ çerçevesinde ödeme, mal bildirimi, teminatlı alacaklarda takip ve ödeme emrine itirazda dikkate alınacak gün sayısı 7’den 15’e yükseltilmiştir. Söz konusu değişiklik 01.01.2018 tarihinden itibaren yürürlüğe girecektir.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w:t>
      </w:r>
      <w:r w:rsidRPr="00BD7D5F">
        <w:rPr>
          <w:rFonts w:ascii="Arial" w:eastAsia="Times New Roman" w:hAnsi="Arial" w:cs="Arial"/>
          <w:color w:val="291F20"/>
          <w:sz w:val="21"/>
          <w:szCs w:val="21"/>
          <w:bdr w:val="none" w:sz="0" w:space="0" w:color="auto" w:frame="1"/>
          <w:lang w:eastAsia="tr-TR"/>
        </w:rPr>
        <w:t xml:space="preserve"> </w:t>
      </w:r>
      <w:r w:rsidRPr="00BD7D5F">
        <w:rPr>
          <w:rFonts w:ascii="Arial" w:eastAsia="Times New Roman" w:hAnsi="Arial" w:cs="Arial"/>
          <w:color w:val="291F20"/>
          <w:sz w:val="21"/>
          <w:szCs w:val="21"/>
          <w:lang w:eastAsia="tr-TR"/>
        </w:rPr>
        <w:t>Çek Kanunu: Çeklerin ödenmesi için muhatap bankaya ibrazı geçersiz kılınan çeklerin tarihi olan 31.12.2017, 31.12.2020 olarak değiştirilmiştir. Bu değişiklik bugün itibariyle yürürlüğe girmiştir.</w:t>
      </w:r>
    </w:p>
    <w:p w:rsidR="00BD7D5F"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 </w:t>
      </w:r>
    </w:p>
    <w:p w:rsidR="006E69F9" w:rsidRPr="00BD7D5F" w:rsidRDefault="00BD7D5F" w:rsidP="00BD7D5F">
      <w:pPr>
        <w:spacing w:line="360" w:lineRule="atLeast"/>
        <w:textAlignment w:val="baseline"/>
        <w:rPr>
          <w:rFonts w:ascii="Arial" w:eastAsia="Times New Roman" w:hAnsi="Arial" w:cs="Arial"/>
          <w:color w:val="291F20"/>
          <w:sz w:val="21"/>
          <w:szCs w:val="21"/>
          <w:lang w:eastAsia="tr-TR"/>
        </w:rPr>
      </w:pPr>
      <w:r w:rsidRPr="00BD7D5F">
        <w:rPr>
          <w:rFonts w:ascii="Arial" w:eastAsia="Times New Roman" w:hAnsi="Arial" w:cs="Arial"/>
          <w:color w:val="291F20"/>
          <w:sz w:val="21"/>
          <w:szCs w:val="21"/>
          <w:lang w:eastAsia="tr-TR"/>
        </w:rPr>
        <w:t>Saygılarımızla,</w:t>
      </w:r>
    </w:p>
    <w:sectPr w:rsidR="006E69F9" w:rsidRPr="00BD7D5F" w:rsidSect="00884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5F"/>
    <w:rsid w:val="006E69F9"/>
    <w:rsid w:val="008840BE"/>
    <w:rsid w:val="00BD7D5F"/>
    <w:rsid w:val="00F85CA0"/>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014C"/>
  <w15:chartTrackingRefBased/>
  <w15:docId w15:val="{8F121031-CDA7-4AC1-93A2-4763648B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y-sag-baslik">
    <w:name w:val="dty-sag-baslik"/>
    <w:basedOn w:val="DefaultParagraphFont"/>
    <w:rsid w:val="00BD7D5F"/>
  </w:style>
  <w:style w:type="character" w:styleId="Strong">
    <w:name w:val="Strong"/>
    <w:basedOn w:val="DefaultParagraphFont"/>
    <w:uiPriority w:val="22"/>
    <w:qFormat/>
    <w:rsid w:val="00BD7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7615">
      <w:bodyDiv w:val="1"/>
      <w:marLeft w:val="0"/>
      <w:marRight w:val="0"/>
      <w:marTop w:val="0"/>
      <w:marBottom w:val="0"/>
      <w:divBdr>
        <w:top w:val="none" w:sz="0" w:space="0" w:color="auto"/>
        <w:left w:val="none" w:sz="0" w:space="0" w:color="auto"/>
        <w:bottom w:val="none" w:sz="0" w:space="0" w:color="auto"/>
        <w:right w:val="none" w:sz="0" w:space="0" w:color="auto"/>
      </w:divBdr>
      <w:divsChild>
        <w:div w:id="1235553482">
          <w:marLeft w:val="0"/>
          <w:marRight w:val="0"/>
          <w:marTop w:val="0"/>
          <w:marBottom w:val="0"/>
          <w:divBdr>
            <w:top w:val="none" w:sz="0" w:space="0" w:color="auto"/>
            <w:left w:val="none" w:sz="0" w:space="0" w:color="auto"/>
            <w:bottom w:val="none" w:sz="0" w:space="0" w:color="auto"/>
            <w:right w:val="none" w:sz="0" w:space="0" w:color="auto"/>
          </w:divBdr>
        </w:div>
        <w:div w:id="818351773">
          <w:marLeft w:val="0"/>
          <w:marRight w:val="0"/>
          <w:marTop w:val="0"/>
          <w:marBottom w:val="0"/>
          <w:divBdr>
            <w:top w:val="none" w:sz="0" w:space="0" w:color="auto"/>
            <w:left w:val="none" w:sz="0" w:space="0" w:color="auto"/>
            <w:bottom w:val="none" w:sz="0" w:space="0" w:color="auto"/>
            <w:right w:val="none" w:sz="0" w:space="0" w:color="auto"/>
          </w:divBdr>
          <w:divsChild>
            <w:div w:id="1057512750">
              <w:marLeft w:val="0"/>
              <w:marRight w:val="0"/>
              <w:marTop w:val="0"/>
              <w:marBottom w:val="240"/>
              <w:divBdr>
                <w:top w:val="none" w:sz="0" w:space="0" w:color="auto"/>
                <w:left w:val="none" w:sz="0" w:space="0" w:color="auto"/>
                <w:bottom w:val="none" w:sz="0" w:space="0" w:color="auto"/>
                <w:right w:val="none" w:sz="0" w:space="0" w:color="auto"/>
              </w:divBdr>
            </w:div>
            <w:div w:id="1195847110">
              <w:marLeft w:val="0"/>
              <w:marRight w:val="0"/>
              <w:marTop w:val="0"/>
              <w:marBottom w:val="240"/>
              <w:divBdr>
                <w:top w:val="none" w:sz="0" w:space="0" w:color="auto"/>
                <w:left w:val="none" w:sz="0" w:space="0" w:color="auto"/>
                <w:bottom w:val="none" w:sz="0" w:space="0" w:color="auto"/>
                <w:right w:val="none" w:sz="0" w:space="0" w:color="auto"/>
              </w:divBdr>
            </w:div>
            <w:div w:id="375392505">
              <w:marLeft w:val="0"/>
              <w:marRight w:val="0"/>
              <w:marTop w:val="0"/>
              <w:marBottom w:val="240"/>
              <w:divBdr>
                <w:top w:val="none" w:sz="0" w:space="0" w:color="auto"/>
                <w:left w:val="none" w:sz="0" w:space="0" w:color="auto"/>
                <w:bottom w:val="none" w:sz="0" w:space="0" w:color="auto"/>
                <w:right w:val="none" w:sz="0" w:space="0" w:color="auto"/>
              </w:divBdr>
            </w:div>
            <w:div w:id="1319530085">
              <w:marLeft w:val="0"/>
              <w:marRight w:val="0"/>
              <w:marTop w:val="0"/>
              <w:marBottom w:val="240"/>
              <w:divBdr>
                <w:top w:val="none" w:sz="0" w:space="0" w:color="auto"/>
                <w:left w:val="none" w:sz="0" w:space="0" w:color="auto"/>
                <w:bottom w:val="none" w:sz="0" w:space="0" w:color="auto"/>
                <w:right w:val="none" w:sz="0" w:space="0" w:color="auto"/>
              </w:divBdr>
            </w:div>
            <w:div w:id="1395398992">
              <w:marLeft w:val="0"/>
              <w:marRight w:val="0"/>
              <w:marTop w:val="0"/>
              <w:marBottom w:val="240"/>
              <w:divBdr>
                <w:top w:val="none" w:sz="0" w:space="0" w:color="auto"/>
                <w:left w:val="none" w:sz="0" w:space="0" w:color="auto"/>
                <w:bottom w:val="none" w:sz="0" w:space="0" w:color="auto"/>
                <w:right w:val="none" w:sz="0" w:space="0" w:color="auto"/>
              </w:divBdr>
            </w:div>
            <w:div w:id="456458866">
              <w:marLeft w:val="0"/>
              <w:marRight w:val="0"/>
              <w:marTop w:val="0"/>
              <w:marBottom w:val="240"/>
              <w:divBdr>
                <w:top w:val="none" w:sz="0" w:space="0" w:color="auto"/>
                <w:left w:val="none" w:sz="0" w:space="0" w:color="auto"/>
                <w:bottom w:val="none" w:sz="0" w:space="0" w:color="auto"/>
                <w:right w:val="none" w:sz="0" w:space="0" w:color="auto"/>
              </w:divBdr>
            </w:div>
            <w:div w:id="1425415501">
              <w:marLeft w:val="0"/>
              <w:marRight w:val="0"/>
              <w:marTop w:val="0"/>
              <w:marBottom w:val="240"/>
              <w:divBdr>
                <w:top w:val="none" w:sz="0" w:space="0" w:color="auto"/>
                <w:left w:val="none" w:sz="0" w:space="0" w:color="auto"/>
                <w:bottom w:val="none" w:sz="0" w:space="0" w:color="auto"/>
                <w:right w:val="none" w:sz="0" w:space="0" w:color="auto"/>
              </w:divBdr>
            </w:div>
            <w:div w:id="844630851">
              <w:marLeft w:val="0"/>
              <w:marRight w:val="0"/>
              <w:marTop w:val="0"/>
              <w:marBottom w:val="240"/>
              <w:divBdr>
                <w:top w:val="none" w:sz="0" w:space="0" w:color="auto"/>
                <w:left w:val="none" w:sz="0" w:space="0" w:color="auto"/>
                <w:bottom w:val="none" w:sz="0" w:space="0" w:color="auto"/>
                <w:right w:val="none" w:sz="0" w:space="0" w:color="auto"/>
              </w:divBdr>
            </w:div>
            <w:div w:id="231737027">
              <w:marLeft w:val="0"/>
              <w:marRight w:val="0"/>
              <w:marTop w:val="0"/>
              <w:marBottom w:val="240"/>
              <w:divBdr>
                <w:top w:val="none" w:sz="0" w:space="0" w:color="auto"/>
                <w:left w:val="none" w:sz="0" w:space="0" w:color="auto"/>
                <w:bottom w:val="none" w:sz="0" w:space="0" w:color="auto"/>
                <w:right w:val="none" w:sz="0" w:space="0" w:color="auto"/>
              </w:divBdr>
            </w:div>
            <w:div w:id="60174337">
              <w:marLeft w:val="0"/>
              <w:marRight w:val="0"/>
              <w:marTop w:val="0"/>
              <w:marBottom w:val="240"/>
              <w:divBdr>
                <w:top w:val="none" w:sz="0" w:space="0" w:color="auto"/>
                <w:left w:val="none" w:sz="0" w:space="0" w:color="auto"/>
                <w:bottom w:val="none" w:sz="0" w:space="0" w:color="auto"/>
                <w:right w:val="none" w:sz="0" w:space="0" w:color="auto"/>
              </w:divBdr>
            </w:div>
            <w:div w:id="587812340">
              <w:marLeft w:val="0"/>
              <w:marRight w:val="0"/>
              <w:marTop w:val="0"/>
              <w:marBottom w:val="240"/>
              <w:divBdr>
                <w:top w:val="none" w:sz="0" w:space="0" w:color="auto"/>
                <w:left w:val="none" w:sz="0" w:space="0" w:color="auto"/>
                <w:bottom w:val="none" w:sz="0" w:space="0" w:color="auto"/>
                <w:right w:val="none" w:sz="0" w:space="0" w:color="auto"/>
              </w:divBdr>
            </w:div>
            <w:div w:id="900943282">
              <w:marLeft w:val="0"/>
              <w:marRight w:val="0"/>
              <w:marTop w:val="0"/>
              <w:marBottom w:val="240"/>
              <w:divBdr>
                <w:top w:val="none" w:sz="0" w:space="0" w:color="auto"/>
                <w:left w:val="none" w:sz="0" w:space="0" w:color="auto"/>
                <w:bottom w:val="none" w:sz="0" w:space="0" w:color="auto"/>
                <w:right w:val="none" w:sz="0" w:space="0" w:color="auto"/>
              </w:divBdr>
            </w:div>
            <w:div w:id="1086876674">
              <w:marLeft w:val="0"/>
              <w:marRight w:val="0"/>
              <w:marTop w:val="0"/>
              <w:marBottom w:val="240"/>
              <w:divBdr>
                <w:top w:val="none" w:sz="0" w:space="0" w:color="auto"/>
                <w:left w:val="none" w:sz="0" w:space="0" w:color="auto"/>
                <w:bottom w:val="none" w:sz="0" w:space="0" w:color="auto"/>
                <w:right w:val="none" w:sz="0" w:space="0" w:color="auto"/>
              </w:divBdr>
            </w:div>
            <w:div w:id="1036275567">
              <w:marLeft w:val="0"/>
              <w:marRight w:val="0"/>
              <w:marTop w:val="0"/>
              <w:marBottom w:val="240"/>
              <w:divBdr>
                <w:top w:val="none" w:sz="0" w:space="0" w:color="auto"/>
                <w:left w:val="none" w:sz="0" w:space="0" w:color="auto"/>
                <w:bottom w:val="none" w:sz="0" w:space="0" w:color="auto"/>
                <w:right w:val="none" w:sz="0" w:space="0" w:color="auto"/>
              </w:divBdr>
            </w:div>
            <w:div w:id="1774981509">
              <w:marLeft w:val="0"/>
              <w:marRight w:val="0"/>
              <w:marTop w:val="0"/>
              <w:marBottom w:val="240"/>
              <w:divBdr>
                <w:top w:val="none" w:sz="0" w:space="0" w:color="auto"/>
                <w:left w:val="none" w:sz="0" w:space="0" w:color="auto"/>
                <w:bottom w:val="none" w:sz="0" w:space="0" w:color="auto"/>
                <w:right w:val="none" w:sz="0" w:space="0" w:color="auto"/>
              </w:divBdr>
            </w:div>
            <w:div w:id="727653254">
              <w:marLeft w:val="0"/>
              <w:marRight w:val="0"/>
              <w:marTop w:val="0"/>
              <w:marBottom w:val="240"/>
              <w:divBdr>
                <w:top w:val="none" w:sz="0" w:space="0" w:color="auto"/>
                <w:left w:val="none" w:sz="0" w:space="0" w:color="auto"/>
                <w:bottom w:val="none" w:sz="0" w:space="0" w:color="auto"/>
                <w:right w:val="none" w:sz="0" w:space="0" w:color="auto"/>
              </w:divBdr>
            </w:div>
            <w:div w:id="1966420156">
              <w:marLeft w:val="0"/>
              <w:marRight w:val="0"/>
              <w:marTop w:val="0"/>
              <w:marBottom w:val="240"/>
              <w:divBdr>
                <w:top w:val="none" w:sz="0" w:space="0" w:color="auto"/>
                <w:left w:val="none" w:sz="0" w:space="0" w:color="auto"/>
                <w:bottom w:val="none" w:sz="0" w:space="0" w:color="auto"/>
                <w:right w:val="none" w:sz="0" w:space="0" w:color="auto"/>
              </w:divBdr>
            </w:div>
            <w:div w:id="845172879">
              <w:marLeft w:val="0"/>
              <w:marRight w:val="0"/>
              <w:marTop w:val="0"/>
              <w:marBottom w:val="240"/>
              <w:divBdr>
                <w:top w:val="none" w:sz="0" w:space="0" w:color="auto"/>
                <w:left w:val="none" w:sz="0" w:space="0" w:color="auto"/>
                <w:bottom w:val="none" w:sz="0" w:space="0" w:color="auto"/>
                <w:right w:val="none" w:sz="0" w:space="0" w:color="auto"/>
              </w:divBdr>
            </w:div>
            <w:div w:id="726226232">
              <w:marLeft w:val="0"/>
              <w:marRight w:val="0"/>
              <w:marTop w:val="0"/>
              <w:marBottom w:val="240"/>
              <w:divBdr>
                <w:top w:val="none" w:sz="0" w:space="0" w:color="auto"/>
                <w:left w:val="none" w:sz="0" w:space="0" w:color="auto"/>
                <w:bottom w:val="none" w:sz="0" w:space="0" w:color="auto"/>
                <w:right w:val="none" w:sz="0" w:space="0" w:color="auto"/>
              </w:divBdr>
            </w:div>
            <w:div w:id="1977561456">
              <w:marLeft w:val="0"/>
              <w:marRight w:val="0"/>
              <w:marTop w:val="0"/>
              <w:marBottom w:val="240"/>
              <w:divBdr>
                <w:top w:val="none" w:sz="0" w:space="0" w:color="auto"/>
                <w:left w:val="none" w:sz="0" w:space="0" w:color="auto"/>
                <w:bottom w:val="none" w:sz="0" w:space="0" w:color="auto"/>
                <w:right w:val="none" w:sz="0" w:space="0" w:color="auto"/>
              </w:divBdr>
            </w:div>
            <w:div w:id="936139503">
              <w:marLeft w:val="0"/>
              <w:marRight w:val="0"/>
              <w:marTop w:val="0"/>
              <w:marBottom w:val="240"/>
              <w:divBdr>
                <w:top w:val="none" w:sz="0" w:space="0" w:color="auto"/>
                <w:left w:val="none" w:sz="0" w:space="0" w:color="auto"/>
                <w:bottom w:val="none" w:sz="0" w:space="0" w:color="auto"/>
                <w:right w:val="none" w:sz="0" w:space="0" w:color="auto"/>
              </w:divBdr>
            </w:div>
            <w:div w:id="472253813">
              <w:marLeft w:val="0"/>
              <w:marRight w:val="0"/>
              <w:marTop w:val="0"/>
              <w:marBottom w:val="240"/>
              <w:divBdr>
                <w:top w:val="none" w:sz="0" w:space="0" w:color="auto"/>
                <w:left w:val="none" w:sz="0" w:space="0" w:color="auto"/>
                <w:bottom w:val="none" w:sz="0" w:space="0" w:color="auto"/>
                <w:right w:val="none" w:sz="0" w:space="0" w:color="auto"/>
              </w:divBdr>
            </w:div>
            <w:div w:id="1431505951">
              <w:marLeft w:val="0"/>
              <w:marRight w:val="0"/>
              <w:marTop w:val="0"/>
              <w:marBottom w:val="240"/>
              <w:divBdr>
                <w:top w:val="none" w:sz="0" w:space="0" w:color="auto"/>
                <w:left w:val="none" w:sz="0" w:space="0" w:color="auto"/>
                <w:bottom w:val="none" w:sz="0" w:space="0" w:color="auto"/>
                <w:right w:val="none" w:sz="0" w:space="0" w:color="auto"/>
              </w:divBdr>
            </w:div>
            <w:div w:id="159278923">
              <w:marLeft w:val="0"/>
              <w:marRight w:val="0"/>
              <w:marTop w:val="0"/>
              <w:marBottom w:val="240"/>
              <w:divBdr>
                <w:top w:val="none" w:sz="0" w:space="0" w:color="auto"/>
                <w:left w:val="none" w:sz="0" w:space="0" w:color="auto"/>
                <w:bottom w:val="none" w:sz="0" w:space="0" w:color="auto"/>
                <w:right w:val="none" w:sz="0" w:space="0" w:color="auto"/>
              </w:divBdr>
            </w:div>
            <w:div w:id="1465273513">
              <w:marLeft w:val="0"/>
              <w:marRight w:val="0"/>
              <w:marTop w:val="0"/>
              <w:marBottom w:val="240"/>
              <w:divBdr>
                <w:top w:val="none" w:sz="0" w:space="0" w:color="auto"/>
                <w:left w:val="none" w:sz="0" w:space="0" w:color="auto"/>
                <w:bottom w:val="none" w:sz="0" w:space="0" w:color="auto"/>
                <w:right w:val="none" w:sz="0" w:space="0" w:color="auto"/>
              </w:divBdr>
            </w:div>
            <w:div w:id="462121446">
              <w:marLeft w:val="0"/>
              <w:marRight w:val="0"/>
              <w:marTop w:val="0"/>
              <w:marBottom w:val="240"/>
              <w:divBdr>
                <w:top w:val="none" w:sz="0" w:space="0" w:color="auto"/>
                <w:left w:val="none" w:sz="0" w:space="0" w:color="auto"/>
                <w:bottom w:val="none" w:sz="0" w:space="0" w:color="auto"/>
                <w:right w:val="none" w:sz="0" w:space="0" w:color="auto"/>
              </w:divBdr>
            </w:div>
            <w:div w:id="1081487366">
              <w:marLeft w:val="0"/>
              <w:marRight w:val="0"/>
              <w:marTop w:val="0"/>
              <w:marBottom w:val="240"/>
              <w:divBdr>
                <w:top w:val="none" w:sz="0" w:space="0" w:color="auto"/>
                <w:left w:val="none" w:sz="0" w:space="0" w:color="auto"/>
                <w:bottom w:val="none" w:sz="0" w:space="0" w:color="auto"/>
                <w:right w:val="none" w:sz="0" w:space="0" w:color="auto"/>
              </w:divBdr>
            </w:div>
            <w:div w:id="1942831702">
              <w:marLeft w:val="0"/>
              <w:marRight w:val="0"/>
              <w:marTop w:val="0"/>
              <w:marBottom w:val="240"/>
              <w:divBdr>
                <w:top w:val="none" w:sz="0" w:space="0" w:color="auto"/>
                <w:left w:val="none" w:sz="0" w:space="0" w:color="auto"/>
                <w:bottom w:val="none" w:sz="0" w:space="0" w:color="auto"/>
                <w:right w:val="none" w:sz="0" w:space="0" w:color="auto"/>
              </w:divBdr>
            </w:div>
            <w:div w:id="1932355654">
              <w:marLeft w:val="0"/>
              <w:marRight w:val="0"/>
              <w:marTop w:val="0"/>
              <w:marBottom w:val="240"/>
              <w:divBdr>
                <w:top w:val="none" w:sz="0" w:space="0" w:color="auto"/>
                <w:left w:val="none" w:sz="0" w:space="0" w:color="auto"/>
                <w:bottom w:val="none" w:sz="0" w:space="0" w:color="auto"/>
                <w:right w:val="none" w:sz="0" w:space="0" w:color="auto"/>
              </w:divBdr>
            </w:div>
            <w:div w:id="1575510891">
              <w:marLeft w:val="0"/>
              <w:marRight w:val="0"/>
              <w:marTop w:val="0"/>
              <w:marBottom w:val="240"/>
              <w:divBdr>
                <w:top w:val="none" w:sz="0" w:space="0" w:color="auto"/>
                <w:left w:val="none" w:sz="0" w:space="0" w:color="auto"/>
                <w:bottom w:val="none" w:sz="0" w:space="0" w:color="auto"/>
                <w:right w:val="none" w:sz="0" w:space="0" w:color="auto"/>
              </w:divBdr>
            </w:div>
            <w:div w:id="699672123">
              <w:marLeft w:val="0"/>
              <w:marRight w:val="0"/>
              <w:marTop w:val="0"/>
              <w:marBottom w:val="240"/>
              <w:divBdr>
                <w:top w:val="none" w:sz="0" w:space="0" w:color="auto"/>
                <w:left w:val="none" w:sz="0" w:space="0" w:color="auto"/>
                <w:bottom w:val="none" w:sz="0" w:space="0" w:color="auto"/>
                <w:right w:val="none" w:sz="0" w:space="0" w:color="auto"/>
              </w:divBdr>
            </w:div>
            <w:div w:id="1198590793">
              <w:marLeft w:val="0"/>
              <w:marRight w:val="0"/>
              <w:marTop w:val="0"/>
              <w:marBottom w:val="240"/>
              <w:divBdr>
                <w:top w:val="none" w:sz="0" w:space="0" w:color="auto"/>
                <w:left w:val="none" w:sz="0" w:space="0" w:color="auto"/>
                <w:bottom w:val="none" w:sz="0" w:space="0" w:color="auto"/>
                <w:right w:val="none" w:sz="0" w:space="0" w:color="auto"/>
              </w:divBdr>
            </w:div>
            <w:div w:id="2117207577">
              <w:marLeft w:val="0"/>
              <w:marRight w:val="0"/>
              <w:marTop w:val="0"/>
              <w:marBottom w:val="240"/>
              <w:divBdr>
                <w:top w:val="none" w:sz="0" w:space="0" w:color="auto"/>
                <w:left w:val="none" w:sz="0" w:space="0" w:color="auto"/>
                <w:bottom w:val="none" w:sz="0" w:space="0" w:color="auto"/>
                <w:right w:val="none" w:sz="0" w:space="0" w:color="auto"/>
              </w:divBdr>
            </w:div>
            <w:div w:id="1683243184">
              <w:marLeft w:val="0"/>
              <w:marRight w:val="0"/>
              <w:marTop w:val="0"/>
              <w:marBottom w:val="240"/>
              <w:divBdr>
                <w:top w:val="none" w:sz="0" w:space="0" w:color="auto"/>
                <w:left w:val="none" w:sz="0" w:space="0" w:color="auto"/>
                <w:bottom w:val="none" w:sz="0" w:space="0" w:color="auto"/>
                <w:right w:val="none" w:sz="0" w:space="0" w:color="auto"/>
              </w:divBdr>
            </w:div>
            <w:div w:id="1263732272">
              <w:marLeft w:val="0"/>
              <w:marRight w:val="0"/>
              <w:marTop w:val="0"/>
              <w:marBottom w:val="240"/>
              <w:divBdr>
                <w:top w:val="none" w:sz="0" w:space="0" w:color="auto"/>
                <w:left w:val="none" w:sz="0" w:space="0" w:color="auto"/>
                <w:bottom w:val="none" w:sz="0" w:space="0" w:color="auto"/>
                <w:right w:val="none" w:sz="0" w:space="0" w:color="auto"/>
              </w:divBdr>
            </w:div>
            <w:div w:id="1766460359">
              <w:marLeft w:val="0"/>
              <w:marRight w:val="0"/>
              <w:marTop w:val="0"/>
              <w:marBottom w:val="240"/>
              <w:divBdr>
                <w:top w:val="none" w:sz="0" w:space="0" w:color="auto"/>
                <w:left w:val="none" w:sz="0" w:space="0" w:color="auto"/>
                <w:bottom w:val="none" w:sz="0" w:space="0" w:color="auto"/>
                <w:right w:val="none" w:sz="0" w:space="0" w:color="auto"/>
              </w:divBdr>
            </w:div>
            <w:div w:id="1362583716">
              <w:marLeft w:val="0"/>
              <w:marRight w:val="0"/>
              <w:marTop w:val="0"/>
              <w:marBottom w:val="240"/>
              <w:divBdr>
                <w:top w:val="none" w:sz="0" w:space="0" w:color="auto"/>
                <w:left w:val="none" w:sz="0" w:space="0" w:color="auto"/>
                <w:bottom w:val="none" w:sz="0" w:space="0" w:color="auto"/>
                <w:right w:val="none" w:sz="0" w:space="0" w:color="auto"/>
              </w:divBdr>
            </w:div>
            <w:div w:id="697895963">
              <w:marLeft w:val="0"/>
              <w:marRight w:val="0"/>
              <w:marTop w:val="0"/>
              <w:marBottom w:val="240"/>
              <w:divBdr>
                <w:top w:val="none" w:sz="0" w:space="0" w:color="auto"/>
                <w:left w:val="none" w:sz="0" w:space="0" w:color="auto"/>
                <w:bottom w:val="none" w:sz="0" w:space="0" w:color="auto"/>
                <w:right w:val="none" w:sz="0" w:space="0" w:color="auto"/>
              </w:divBdr>
            </w:div>
            <w:div w:id="28771127">
              <w:marLeft w:val="0"/>
              <w:marRight w:val="0"/>
              <w:marTop w:val="0"/>
              <w:marBottom w:val="240"/>
              <w:divBdr>
                <w:top w:val="none" w:sz="0" w:space="0" w:color="auto"/>
                <w:left w:val="none" w:sz="0" w:space="0" w:color="auto"/>
                <w:bottom w:val="none" w:sz="0" w:space="0" w:color="auto"/>
                <w:right w:val="none" w:sz="0" w:space="0" w:color="auto"/>
              </w:divBdr>
            </w:div>
            <w:div w:id="1685857108">
              <w:marLeft w:val="0"/>
              <w:marRight w:val="0"/>
              <w:marTop w:val="0"/>
              <w:marBottom w:val="240"/>
              <w:divBdr>
                <w:top w:val="none" w:sz="0" w:space="0" w:color="auto"/>
                <w:left w:val="none" w:sz="0" w:space="0" w:color="auto"/>
                <w:bottom w:val="none" w:sz="0" w:space="0" w:color="auto"/>
                <w:right w:val="none" w:sz="0" w:space="0" w:color="auto"/>
              </w:divBdr>
            </w:div>
            <w:div w:id="1651206440">
              <w:marLeft w:val="0"/>
              <w:marRight w:val="0"/>
              <w:marTop w:val="0"/>
              <w:marBottom w:val="240"/>
              <w:divBdr>
                <w:top w:val="none" w:sz="0" w:space="0" w:color="auto"/>
                <w:left w:val="none" w:sz="0" w:space="0" w:color="auto"/>
                <w:bottom w:val="none" w:sz="0" w:space="0" w:color="auto"/>
                <w:right w:val="none" w:sz="0" w:space="0" w:color="auto"/>
              </w:divBdr>
            </w:div>
            <w:div w:id="1377729936">
              <w:marLeft w:val="0"/>
              <w:marRight w:val="0"/>
              <w:marTop w:val="0"/>
              <w:marBottom w:val="240"/>
              <w:divBdr>
                <w:top w:val="none" w:sz="0" w:space="0" w:color="auto"/>
                <w:left w:val="none" w:sz="0" w:space="0" w:color="auto"/>
                <w:bottom w:val="none" w:sz="0" w:space="0" w:color="auto"/>
                <w:right w:val="none" w:sz="0" w:space="0" w:color="auto"/>
              </w:divBdr>
            </w:div>
            <w:div w:id="815998240">
              <w:marLeft w:val="0"/>
              <w:marRight w:val="0"/>
              <w:marTop w:val="0"/>
              <w:marBottom w:val="240"/>
              <w:divBdr>
                <w:top w:val="none" w:sz="0" w:space="0" w:color="auto"/>
                <w:left w:val="none" w:sz="0" w:space="0" w:color="auto"/>
                <w:bottom w:val="none" w:sz="0" w:space="0" w:color="auto"/>
                <w:right w:val="none" w:sz="0" w:space="0" w:color="auto"/>
              </w:divBdr>
            </w:div>
            <w:div w:id="1397122329">
              <w:marLeft w:val="0"/>
              <w:marRight w:val="0"/>
              <w:marTop w:val="0"/>
              <w:marBottom w:val="240"/>
              <w:divBdr>
                <w:top w:val="none" w:sz="0" w:space="0" w:color="auto"/>
                <w:left w:val="none" w:sz="0" w:space="0" w:color="auto"/>
                <w:bottom w:val="none" w:sz="0" w:space="0" w:color="auto"/>
                <w:right w:val="none" w:sz="0" w:space="0" w:color="auto"/>
              </w:divBdr>
            </w:div>
            <w:div w:id="342561410">
              <w:marLeft w:val="0"/>
              <w:marRight w:val="0"/>
              <w:marTop w:val="0"/>
              <w:marBottom w:val="240"/>
              <w:divBdr>
                <w:top w:val="none" w:sz="0" w:space="0" w:color="auto"/>
                <w:left w:val="none" w:sz="0" w:space="0" w:color="auto"/>
                <w:bottom w:val="none" w:sz="0" w:space="0" w:color="auto"/>
                <w:right w:val="none" w:sz="0" w:space="0" w:color="auto"/>
              </w:divBdr>
            </w:div>
            <w:div w:id="464934705">
              <w:marLeft w:val="0"/>
              <w:marRight w:val="0"/>
              <w:marTop w:val="0"/>
              <w:marBottom w:val="240"/>
              <w:divBdr>
                <w:top w:val="none" w:sz="0" w:space="0" w:color="auto"/>
                <w:left w:val="none" w:sz="0" w:space="0" w:color="auto"/>
                <w:bottom w:val="none" w:sz="0" w:space="0" w:color="auto"/>
                <w:right w:val="none" w:sz="0" w:space="0" w:color="auto"/>
              </w:divBdr>
            </w:div>
            <w:div w:id="342242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2018-01-15T10:38:00Z</dcterms:created>
  <dcterms:modified xsi:type="dcterms:W3CDTF">2018-01-15T10:39:00Z</dcterms:modified>
</cp:coreProperties>
</file>